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AF273" w14:textId="77777777" w:rsidR="00FB5A73" w:rsidRDefault="00FB5A73">
      <w:pPr>
        <w:pStyle w:val="Heading1"/>
      </w:pPr>
      <w:r>
        <w:t xml:space="preserve">corrective &amp; preventative action </w:t>
      </w:r>
    </w:p>
    <w:p w14:paraId="378407C9" w14:textId="77777777" w:rsidR="00FB5A73" w:rsidRDefault="00FB5A73" w:rsidP="00A23A19">
      <w:pPr>
        <w:pStyle w:val="Heading2"/>
      </w:pPr>
      <w:r>
        <w:t>Purpose &amp; SCOPE</w:t>
      </w:r>
    </w:p>
    <w:p w14:paraId="5F2B73F9" w14:textId="77777777" w:rsidR="00FB5A73" w:rsidRPr="00153AAC" w:rsidRDefault="00FB5A73" w:rsidP="006450C5">
      <w:pPr>
        <w:rPr>
          <w:szCs w:val="22"/>
        </w:rPr>
      </w:pPr>
      <w:r>
        <w:t xml:space="preserve">Corrective &amp; Preventative Action (CAPA) is a continuous improvement tool used by which </w:t>
      </w:r>
      <w:r>
        <w:rPr>
          <w:i/>
          <w:color w:val="FF0000"/>
        </w:rPr>
        <w:t xml:space="preserve">(Insert manufacturer’s name) </w:t>
      </w:r>
      <w:r>
        <w:t xml:space="preserve">to prevent the occurrence or recurrence of non-conformances and is a part of the Compliance Management system.  </w:t>
      </w:r>
      <w:r w:rsidRPr="00577EE2">
        <w:rPr>
          <w:szCs w:val="22"/>
        </w:rPr>
        <w:t>Corrective and Preventat</w:t>
      </w:r>
      <w:r>
        <w:rPr>
          <w:szCs w:val="22"/>
        </w:rPr>
        <w:t>ive Action is vital to continued</w:t>
      </w:r>
      <w:r w:rsidRPr="00577EE2">
        <w:rPr>
          <w:szCs w:val="22"/>
        </w:rPr>
        <w:t xml:space="preserve"> improvement of both product and process.</w:t>
      </w:r>
    </w:p>
    <w:p w14:paraId="210CFC03" w14:textId="77777777" w:rsidR="00FB5A73" w:rsidRDefault="00FB5A73">
      <w:pPr>
        <w:pStyle w:val="Heading2"/>
      </w:pPr>
      <w:r>
        <w:t>Responsibilities</w:t>
      </w:r>
    </w:p>
    <w:p w14:paraId="0A2CCFCB" w14:textId="77777777" w:rsidR="00FB5A73" w:rsidRDefault="00FB5A73" w:rsidP="00A92665">
      <w:r>
        <w:t xml:space="preserve">The responsibilities of the Quality Manager, Quality Coordinator and Facility Director for the Compliance Management system are documented in </w:t>
      </w:r>
      <w:r>
        <w:rPr>
          <w:i/>
        </w:rPr>
        <w:t>Quality Management.</w:t>
      </w:r>
      <w:r>
        <w:t xml:space="preserve"> </w:t>
      </w:r>
    </w:p>
    <w:p w14:paraId="742C43E8" w14:textId="77777777" w:rsidR="00FB5A73" w:rsidRPr="00A92665" w:rsidRDefault="00FB5A73" w:rsidP="00A92665">
      <w:r>
        <w:t>CAPA specific responsibilities</w:t>
      </w:r>
      <w:r w:rsidRPr="001C317F">
        <w:t>:</w:t>
      </w:r>
    </w:p>
    <w:p w14:paraId="61361F14" w14:textId="77777777" w:rsidR="00FB5A73" w:rsidRPr="00A23A19" w:rsidRDefault="00FB5A73" w:rsidP="00B1672D">
      <w:pPr>
        <w:ind w:left="360"/>
      </w:pPr>
      <w:r w:rsidRPr="00A23A19">
        <w:t xml:space="preserve">Quality Management </w:t>
      </w:r>
      <w:r>
        <w:t xml:space="preserve">personnel </w:t>
      </w:r>
      <w:r w:rsidRPr="00A23A19">
        <w:t>are responsible for:</w:t>
      </w:r>
    </w:p>
    <w:p w14:paraId="74532F95" w14:textId="77777777" w:rsidR="00FB5A73" w:rsidRDefault="00FB5A73" w:rsidP="00A92665">
      <w:pPr>
        <w:numPr>
          <w:ilvl w:val="0"/>
          <w:numId w:val="42"/>
        </w:numPr>
        <w:rPr>
          <w:szCs w:val="22"/>
        </w:rPr>
      </w:pPr>
      <w:r w:rsidRPr="00A23A19">
        <w:rPr>
          <w:szCs w:val="22"/>
        </w:rPr>
        <w:t>Raising corrective action where required</w:t>
      </w:r>
    </w:p>
    <w:p w14:paraId="365567DB" w14:textId="77777777" w:rsidR="00FB5A73" w:rsidRPr="00A23A19" w:rsidRDefault="00FB5A73" w:rsidP="00A92665">
      <w:pPr>
        <w:numPr>
          <w:ilvl w:val="0"/>
          <w:numId w:val="42"/>
        </w:numPr>
      </w:pPr>
      <w:r>
        <w:t>Managing</w:t>
      </w:r>
      <w:r w:rsidRPr="00A23A19">
        <w:t xml:space="preserve"> effective and timely </w:t>
      </w:r>
      <w:r>
        <w:t xml:space="preserve">corrective and </w:t>
      </w:r>
      <w:r w:rsidRPr="00A23A19">
        <w:t>preventative action</w:t>
      </w:r>
      <w:r>
        <w:t>s</w:t>
      </w:r>
    </w:p>
    <w:p w14:paraId="057E18CD" w14:textId="77777777" w:rsidR="00FB5A73" w:rsidRPr="00A23A19" w:rsidRDefault="00FB5A73" w:rsidP="00A92665">
      <w:pPr>
        <w:ind w:left="360"/>
      </w:pPr>
      <w:r w:rsidRPr="00A23A19">
        <w:t>Facility Director and Scientist in Charge are responsible for:</w:t>
      </w:r>
    </w:p>
    <w:p w14:paraId="518A1496" w14:textId="77777777" w:rsidR="00FB5A73" w:rsidRPr="00A23A19" w:rsidRDefault="00FB5A73" w:rsidP="006450C5">
      <w:pPr>
        <w:numPr>
          <w:ilvl w:val="0"/>
          <w:numId w:val="38"/>
        </w:numPr>
      </w:pPr>
      <w:r w:rsidRPr="00A23A19">
        <w:t>Timely initiation of action to identify the root cause of a non-conformance or non-compliance</w:t>
      </w:r>
    </w:p>
    <w:p w14:paraId="3944AD76" w14:textId="77777777" w:rsidR="00FB5A73" w:rsidRPr="00A23A19" w:rsidRDefault="00FB5A73" w:rsidP="006450C5">
      <w:pPr>
        <w:numPr>
          <w:ilvl w:val="0"/>
          <w:numId w:val="38"/>
        </w:numPr>
      </w:pPr>
      <w:r w:rsidRPr="00A23A19">
        <w:t>Conducting a</w:t>
      </w:r>
      <w:r>
        <w:t xml:space="preserve"> risk analysis, if required.</w:t>
      </w:r>
    </w:p>
    <w:p w14:paraId="1ABF6215" w14:textId="77777777" w:rsidR="00FB5A73" w:rsidRPr="00A23A19" w:rsidRDefault="00FB5A73" w:rsidP="006450C5">
      <w:pPr>
        <w:numPr>
          <w:ilvl w:val="0"/>
          <w:numId w:val="38"/>
        </w:numPr>
      </w:pPr>
      <w:r w:rsidRPr="00A23A19">
        <w:t>Proposing corrective and preventative action</w:t>
      </w:r>
      <w:r>
        <w:t>s</w:t>
      </w:r>
    </w:p>
    <w:p w14:paraId="3B228DC8" w14:textId="77777777" w:rsidR="00FB5A73" w:rsidRPr="00A23A19" w:rsidRDefault="00FB5A73" w:rsidP="006450C5">
      <w:pPr>
        <w:numPr>
          <w:ilvl w:val="0"/>
          <w:numId w:val="38"/>
        </w:numPr>
      </w:pPr>
      <w:r w:rsidRPr="00A23A19">
        <w:t xml:space="preserve">Initiating effective and timely </w:t>
      </w:r>
      <w:r>
        <w:t xml:space="preserve">corrective and </w:t>
      </w:r>
      <w:r w:rsidRPr="00A23A19">
        <w:t>preventative action</w:t>
      </w:r>
      <w:r>
        <w:t>s</w:t>
      </w:r>
    </w:p>
    <w:p w14:paraId="37A5F671" w14:textId="77777777" w:rsidR="00FB5A73" w:rsidRPr="00C738D2" w:rsidRDefault="00FB5A73" w:rsidP="000219B9">
      <w:pPr>
        <w:pStyle w:val="Heading2"/>
      </w:pPr>
      <w:r>
        <w:t>definitions</w:t>
      </w:r>
    </w:p>
    <w:p w14:paraId="74EC1D25" w14:textId="77777777" w:rsidR="00FB5A73" w:rsidRPr="000219B9" w:rsidRDefault="00FB5A73" w:rsidP="006450C5">
      <w:r w:rsidRPr="000219B9">
        <w:rPr>
          <w:b/>
        </w:rPr>
        <w:t xml:space="preserve">Corrective Action:  </w:t>
      </w:r>
      <w:r>
        <w:t xml:space="preserve">Actions to eliminate the causes of a detected non-conformance. The corrective action should eliminate recurrence of the non-conformance.  </w:t>
      </w:r>
      <w:r w:rsidRPr="000219B9">
        <w:t xml:space="preserve">Corrective action in this context is not intended to mean the immediate action taken to address a non-conformance, rather longer-term corrective actions, planned following thorough investigation, to eliminate the root cause of non-conformances.  </w:t>
      </w:r>
    </w:p>
    <w:p w14:paraId="21271B51" w14:textId="77777777" w:rsidR="00FB5A73" w:rsidRPr="000219B9" w:rsidRDefault="00FB5A73" w:rsidP="006450C5">
      <w:r w:rsidRPr="000219B9">
        <w:rPr>
          <w:b/>
        </w:rPr>
        <w:t>Preventative Action:</w:t>
      </w:r>
      <w:r w:rsidRPr="000219B9">
        <w:t xml:space="preserve">  </w:t>
      </w:r>
      <w:r>
        <w:t xml:space="preserve">Actions to eliminate the causes of a potential non-conformance. Preventative action should prevent the occurrence of the potential issue. </w:t>
      </w:r>
    </w:p>
    <w:p w14:paraId="744FA41A" w14:textId="77777777" w:rsidR="00FB5A73" w:rsidRPr="000219B9" w:rsidRDefault="00FB5A73" w:rsidP="000219B9">
      <w:pPr>
        <w:pStyle w:val="Heading2"/>
      </w:pPr>
      <w:r>
        <w:t xml:space="preserve">Procedure </w:t>
      </w:r>
    </w:p>
    <w:p w14:paraId="2E5763B2" w14:textId="77777777" w:rsidR="00FB5A73" w:rsidRDefault="00FB5A73" w:rsidP="00B9149E">
      <w:r>
        <w:t xml:space="preserve">Implement corrective and preventative action procedures when actions are required to eliminate root causes of non-conformances to prevent the problem from occurring, or recurring.   </w:t>
      </w:r>
    </w:p>
    <w:p w14:paraId="69986D04" w14:textId="77777777" w:rsidR="00FB5A73" w:rsidRPr="002E59F8" w:rsidRDefault="00FB5A73" w:rsidP="00B1672D">
      <w:r>
        <w:t xml:space="preserve">The Quality Manager (or delegate) is responsible for determining the requirement for a CAPA to be raised. A CAPA may arise from: </w:t>
      </w:r>
    </w:p>
    <w:p w14:paraId="179B2BFD" w14:textId="77777777" w:rsidR="00FB5A73" w:rsidRPr="005F08D4" w:rsidRDefault="00FB5A73" w:rsidP="00B1672D">
      <w:pPr>
        <w:numPr>
          <w:ilvl w:val="0"/>
          <w:numId w:val="34"/>
        </w:numPr>
        <w:ind w:left="709" w:hanging="357"/>
      </w:pPr>
      <w:r w:rsidRPr="005F08D4">
        <w:t>Customer complaints</w:t>
      </w:r>
    </w:p>
    <w:p w14:paraId="36F35437" w14:textId="77777777" w:rsidR="00FB5A73" w:rsidRPr="005F08D4" w:rsidRDefault="00FB5A73" w:rsidP="00B1672D">
      <w:pPr>
        <w:numPr>
          <w:ilvl w:val="0"/>
          <w:numId w:val="30"/>
        </w:numPr>
        <w:ind w:left="709" w:hanging="357"/>
      </w:pPr>
      <w:r w:rsidRPr="005F08D4">
        <w:t>Non-conformance reports</w:t>
      </w:r>
    </w:p>
    <w:p w14:paraId="2FF28A83" w14:textId="77777777" w:rsidR="00FB5A73" w:rsidRPr="005F08D4" w:rsidRDefault="00FB5A73" w:rsidP="00B1672D">
      <w:pPr>
        <w:numPr>
          <w:ilvl w:val="0"/>
          <w:numId w:val="30"/>
        </w:numPr>
        <w:ind w:left="709" w:hanging="357"/>
      </w:pPr>
      <w:r w:rsidRPr="005F08D4">
        <w:t>Management review findings</w:t>
      </w:r>
    </w:p>
    <w:p w14:paraId="06B896D7" w14:textId="77777777" w:rsidR="00FB5A73" w:rsidRPr="005F08D4" w:rsidRDefault="00FB5A73" w:rsidP="00B1672D">
      <w:pPr>
        <w:numPr>
          <w:ilvl w:val="0"/>
          <w:numId w:val="30"/>
        </w:numPr>
        <w:ind w:left="709" w:hanging="357"/>
      </w:pPr>
      <w:r w:rsidRPr="005F08D4">
        <w:t>Supplier evaluation</w:t>
      </w:r>
      <w:r>
        <w:t>s</w:t>
      </w:r>
    </w:p>
    <w:p w14:paraId="727F6203" w14:textId="77777777" w:rsidR="00FB5A73" w:rsidRPr="005F08D4" w:rsidRDefault="00FB5A73" w:rsidP="00B1672D">
      <w:pPr>
        <w:numPr>
          <w:ilvl w:val="0"/>
          <w:numId w:val="30"/>
        </w:numPr>
        <w:ind w:left="709" w:hanging="357"/>
      </w:pPr>
      <w:r w:rsidRPr="005F08D4">
        <w:t>Internal and external audit</w:t>
      </w:r>
      <w:r>
        <w:t>s</w:t>
      </w:r>
    </w:p>
    <w:p w14:paraId="1BDFF7DD" w14:textId="77777777" w:rsidR="00FB5A73" w:rsidRPr="005F08D4" w:rsidRDefault="00FB5A73" w:rsidP="00B1672D">
      <w:pPr>
        <w:numPr>
          <w:ilvl w:val="0"/>
          <w:numId w:val="30"/>
        </w:numPr>
        <w:ind w:left="709" w:hanging="357"/>
      </w:pPr>
      <w:r w:rsidRPr="005F08D4">
        <w:t>Post-market feedback</w:t>
      </w:r>
    </w:p>
    <w:p w14:paraId="7A34ACFA" w14:textId="77777777" w:rsidR="00FB5A73" w:rsidRPr="00B94A86" w:rsidRDefault="00FB5A73" w:rsidP="00B1672D">
      <w:pPr>
        <w:numPr>
          <w:ilvl w:val="0"/>
          <w:numId w:val="30"/>
        </w:numPr>
        <w:ind w:left="709" w:hanging="357"/>
        <w:rPr>
          <w:rFonts w:ascii="Arial Narrow" w:hAnsi="Arial Narrow" w:cs="Arial"/>
        </w:rPr>
      </w:pPr>
      <w:r w:rsidRPr="005F08D4">
        <w:t>Review of data indicating a need for preventive action</w:t>
      </w:r>
    </w:p>
    <w:p w14:paraId="51DCEEE7" w14:textId="77777777" w:rsidR="00FB5A73" w:rsidRDefault="00FB5A73" w:rsidP="00B1672D">
      <w:r>
        <w:t xml:space="preserve">Corrective and preventative actions are identified following root cause investigations by the Quality Manager, refer to </w:t>
      </w:r>
      <w:r w:rsidRPr="00A91AE1">
        <w:rPr>
          <w:i/>
        </w:rPr>
        <w:t>Root Cause Analysis</w:t>
      </w:r>
      <w:r>
        <w:rPr>
          <w:i/>
        </w:rPr>
        <w:t>.</w:t>
      </w:r>
      <w:r>
        <w:t xml:space="preserve"> </w:t>
      </w:r>
    </w:p>
    <w:p w14:paraId="23C5E5F7" w14:textId="77777777" w:rsidR="00FB5A73" w:rsidRDefault="00FB5A73" w:rsidP="00B1672D">
      <w:r>
        <w:t xml:space="preserve">Document corrective and preventative actions in non-conformance reports using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t>.</w:t>
      </w:r>
    </w:p>
    <w:p w14:paraId="7A140A98" w14:textId="77777777" w:rsidR="00FB5A73" w:rsidRDefault="00FB5A73" w:rsidP="00B1672D">
      <w:bookmarkStart w:id="0" w:name="_GoBack"/>
      <w:bookmarkEnd w:id="0"/>
    </w:p>
    <w:p w14:paraId="6DE76F90" w14:textId="77777777" w:rsidR="00FB5A73" w:rsidRDefault="00FB5A73" w:rsidP="00B1672D">
      <w:pPr>
        <w:pStyle w:val="Heading2"/>
      </w:pPr>
      <w:r>
        <w:lastRenderedPageBreak/>
        <w:t>CAPA PROCESS</w:t>
      </w:r>
    </w:p>
    <w:p w14:paraId="62AFDB60" w14:textId="77777777" w:rsidR="00FB5A73" w:rsidRPr="006450C5" w:rsidRDefault="00FB5A73" w:rsidP="006450C5">
      <w:pPr>
        <w:numPr>
          <w:ilvl w:val="0"/>
          <w:numId w:val="40"/>
        </w:numPr>
        <w:spacing w:before="120"/>
        <w:ind w:left="357" w:hanging="357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Initiate Corrective or</w:t>
      </w:r>
      <w:r w:rsidRPr="004D448E">
        <w:rPr>
          <w:rFonts w:ascii="Arial" w:hAnsi="Arial" w:cs="Arial"/>
          <w:b/>
        </w:rPr>
        <w:t xml:space="preserve"> Preventative Action</w:t>
      </w:r>
      <w:r>
        <w:rPr>
          <w:rFonts w:ascii="Arial" w:hAnsi="Arial" w:cs="Arial"/>
          <w:b/>
        </w:rPr>
        <w:t xml:space="preserve"> (CAPA) </w:t>
      </w:r>
    </w:p>
    <w:p w14:paraId="0F7FD9A7" w14:textId="77777777" w:rsidR="00FB5A73" w:rsidRDefault="00FB5A73" w:rsidP="0049701D">
      <w:r>
        <w:rPr>
          <w:szCs w:val="22"/>
        </w:rPr>
        <w:t xml:space="preserve">The Quality Manager </w:t>
      </w:r>
      <w:r w:rsidRPr="00577EE2">
        <w:rPr>
          <w:szCs w:val="22"/>
        </w:rPr>
        <w:t>(or delegate</w:t>
      </w:r>
      <w:r>
        <w:rPr>
          <w:szCs w:val="22"/>
        </w:rPr>
        <w:t>) is to raise a Corrective or</w:t>
      </w:r>
      <w:r w:rsidRPr="00577EE2">
        <w:rPr>
          <w:szCs w:val="22"/>
        </w:rPr>
        <w:t xml:space="preserve"> </w:t>
      </w:r>
      <w:r>
        <w:rPr>
          <w:szCs w:val="22"/>
        </w:rPr>
        <w:t>Preventative Action Request</w:t>
      </w:r>
      <w:r w:rsidRPr="00577EE2">
        <w:rPr>
          <w:szCs w:val="22"/>
        </w:rPr>
        <w:t xml:space="preserve"> </w:t>
      </w:r>
      <w:r>
        <w:rPr>
          <w:szCs w:val="22"/>
        </w:rPr>
        <w:t xml:space="preserve">in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t>.</w:t>
      </w:r>
    </w:p>
    <w:p w14:paraId="36CDA519" w14:textId="77777777" w:rsidR="00FB5A73" w:rsidRDefault="00FB5A73" w:rsidP="00B1672D">
      <w:pPr>
        <w:pStyle w:val="Indent1"/>
        <w:spacing w:before="6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A staff member is assigned to the corrective action and provided with a due date for completion of the activity. </w:t>
      </w:r>
    </w:p>
    <w:p w14:paraId="0A438A39" w14:textId="77777777" w:rsidR="00FB5A73" w:rsidRDefault="00FB5A73" w:rsidP="00B1672D">
      <w:pPr>
        <w:pStyle w:val="Indent1"/>
        <w:spacing w:before="60"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>The time frame allocated to the action is dependent upon the severity of the non-conformance related to the CAPA and the complexity of the action. The following table is used as a guide for allocating time frames.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2692"/>
        <w:gridCol w:w="2464"/>
        <w:gridCol w:w="2464"/>
      </w:tblGrid>
      <w:tr w:rsidR="00FB5A73" w14:paraId="17F48E06" w14:textId="77777777" w:rsidTr="00B1672D">
        <w:trPr>
          <w:jc w:val="center"/>
        </w:trPr>
        <w:tc>
          <w:tcPr>
            <w:tcW w:w="1985" w:type="dxa"/>
            <w:vMerge w:val="restart"/>
          </w:tcPr>
          <w:p w14:paraId="5C1A73E3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Non-conformance severity</w:t>
            </w:r>
          </w:p>
        </w:tc>
        <w:tc>
          <w:tcPr>
            <w:tcW w:w="7620" w:type="dxa"/>
            <w:gridSpan w:val="3"/>
          </w:tcPr>
          <w:p w14:paraId="7DDCBABB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Complexity</w:t>
            </w:r>
          </w:p>
        </w:tc>
      </w:tr>
      <w:tr w:rsidR="00FB5A73" w14:paraId="4763390A" w14:textId="77777777" w:rsidTr="00B1672D">
        <w:trPr>
          <w:jc w:val="center"/>
        </w:trPr>
        <w:tc>
          <w:tcPr>
            <w:tcW w:w="1985" w:type="dxa"/>
            <w:vMerge/>
          </w:tcPr>
          <w:p w14:paraId="1BF939D9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</w:tcPr>
          <w:p w14:paraId="432D001D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Low</w:t>
            </w:r>
          </w:p>
        </w:tc>
        <w:tc>
          <w:tcPr>
            <w:tcW w:w="2464" w:type="dxa"/>
          </w:tcPr>
          <w:p w14:paraId="306A40E9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Medium</w:t>
            </w:r>
          </w:p>
        </w:tc>
        <w:tc>
          <w:tcPr>
            <w:tcW w:w="2464" w:type="dxa"/>
          </w:tcPr>
          <w:p w14:paraId="77490574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High</w:t>
            </w:r>
          </w:p>
        </w:tc>
      </w:tr>
      <w:tr w:rsidR="00FB5A73" w14:paraId="10B3D1BC" w14:textId="77777777" w:rsidTr="00B1672D">
        <w:trPr>
          <w:jc w:val="center"/>
        </w:trPr>
        <w:tc>
          <w:tcPr>
            <w:tcW w:w="1985" w:type="dxa"/>
          </w:tcPr>
          <w:p w14:paraId="448FFEE3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Critical</w:t>
            </w:r>
          </w:p>
        </w:tc>
        <w:tc>
          <w:tcPr>
            <w:tcW w:w="2692" w:type="dxa"/>
          </w:tcPr>
          <w:p w14:paraId="63322487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Days</w:t>
            </w:r>
          </w:p>
        </w:tc>
        <w:tc>
          <w:tcPr>
            <w:tcW w:w="2464" w:type="dxa"/>
          </w:tcPr>
          <w:p w14:paraId="15B0359F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Week</w:t>
            </w:r>
          </w:p>
        </w:tc>
        <w:tc>
          <w:tcPr>
            <w:tcW w:w="2464" w:type="dxa"/>
          </w:tcPr>
          <w:p w14:paraId="2405E1CA" w14:textId="77777777" w:rsidR="00FB5A73" w:rsidRPr="000D70A7" w:rsidRDefault="00FB5A73" w:rsidP="000D70A7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Weeks</w:t>
            </w:r>
          </w:p>
        </w:tc>
      </w:tr>
      <w:tr w:rsidR="00FB5A73" w14:paraId="796A1ADF" w14:textId="77777777" w:rsidTr="00B1672D">
        <w:trPr>
          <w:jc w:val="center"/>
        </w:trPr>
        <w:tc>
          <w:tcPr>
            <w:tcW w:w="1985" w:type="dxa"/>
          </w:tcPr>
          <w:p w14:paraId="5D81DA7C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Major</w:t>
            </w:r>
          </w:p>
        </w:tc>
        <w:tc>
          <w:tcPr>
            <w:tcW w:w="2692" w:type="dxa"/>
          </w:tcPr>
          <w:p w14:paraId="59A7A1EF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 w:rsidRPr="000D70A7">
              <w:rPr>
                <w:sz w:val="22"/>
                <w:szCs w:val="22"/>
              </w:rPr>
              <w:t>1 Week</w:t>
            </w:r>
          </w:p>
        </w:tc>
        <w:tc>
          <w:tcPr>
            <w:tcW w:w="2464" w:type="dxa"/>
          </w:tcPr>
          <w:p w14:paraId="0EFC3454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 w:rsidRPr="000D70A7">
              <w:rPr>
                <w:sz w:val="22"/>
                <w:szCs w:val="22"/>
              </w:rPr>
              <w:t>2 Weeks</w:t>
            </w:r>
          </w:p>
        </w:tc>
        <w:tc>
          <w:tcPr>
            <w:tcW w:w="2464" w:type="dxa"/>
          </w:tcPr>
          <w:p w14:paraId="7C704092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 w:rsidRPr="000D70A7">
              <w:rPr>
                <w:sz w:val="22"/>
                <w:szCs w:val="22"/>
              </w:rPr>
              <w:t>1 Month</w:t>
            </w:r>
          </w:p>
        </w:tc>
      </w:tr>
      <w:tr w:rsidR="00FB5A73" w14:paraId="000A7531" w14:textId="77777777" w:rsidTr="00B1672D">
        <w:trPr>
          <w:jc w:val="center"/>
        </w:trPr>
        <w:tc>
          <w:tcPr>
            <w:tcW w:w="1985" w:type="dxa"/>
          </w:tcPr>
          <w:p w14:paraId="7695C456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D70A7">
              <w:rPr>
                <w:b/>
                <w:sz w:val="22"/>
                <w:szCs w:val="22"/>
              </w:rPr>
              <w:t>Minor</w:t>
            </w:r>
          </w:p>
        </w:tc>
        <w:tc>
          <w:tcPr>
            <w:tcW w:w="2692" w:type="dxa"/>
          </w:tcPr>
          <w:p w14:paraId="6A9A03A9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 w:rsidRPr="000D70A7">
              <w:rPr>
                <w:sz w:val="22"/>
                <w:szCs w:val="22"/>
              </w:rPr>
              <w:t>2 Weeks</w:t>
            </w:r>
          </w:p>
        </w:tc>
        <w:tc>
          <w:tcPr>
            <w:tcW w:w="2464" w:type="dxa"/>
          </w:tcPr>
          <w:p w14:paraId="318B644E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Month</w:t>
            </w:r>
          </w:p>
        </w:tc>
        <w:tc>
          <w:tcPr>
            <w:tcW w:w="2464" w:type="dxa"/>
          </w:tcPr>
          <w:p w14:paraId="4B93CC1E" w14:textId="77777777" w:rsidR="00FB5A73" w:rsidRPr="000D70A7" w:rsidRDefault="00FB5A73" w:rsidP="00856AE5">
            <w:pPr>
              <w:pStyle w:val="Indent1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Months</w:t>
            </w:r>
          </w:p>
        </w:tc>
      </w:tr>
    </w:tbl>
    <w:p w14:paraId="2C3E878F" w14:textId="77777777" w:rsidR="00FB5A73" w:rsidRPr="006450C5" w:rsidRDefault="00FB5A73" w:rsidP="00B1672D">
      <w:pPr>
        <w:pStyle w:val="Indent1"/>
        <w:numPr>
          <w:ilvl w:val="0"/>
          <w:numId w:val="40"/>
        </w:numPr>
        <w:spacing w:before="180"/>
        <w:ind w:left="357" w:hanging="357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 xml:space="preserve">Implement Corrective / Preventative Action </w:t>
      </w:r>
    </w:p>
    <w:p w14:paraId="75E3399C" w14:textId="77777777" w:rsidR="00FB5A73" w:rsidRPr="00E45E96" w:rsidRDefault="00FB5A73" w:rsidP="00E45E96">
      <w:pPr>
        <w:rPr>
          <w:szCs w:val="22"/>
        </w:rPr>
      </w:pPr>
      <w:r>
        <w:rPr>
          <w:szCs w:val="22"/>
        </w:rPr>
        <w:t>The corrective/preventative action is implemented by the personnel assigned to the action, in consultation with the Quality Manager.</w:t>
      </w:r>
    </w:p>
    <w:p w14:paraId="29261A26" w14:textId="77777777" w:rsidR="00FB5A73" w:rsidRPr="006450C5" w:rsidRDefault="00FB5A73" w:rsidP="006450C5">
      <w:pPr>
        <w:pStyle w:val="Indent1"/>
        <w:numPr>
          <w:ilvl w:val="0"/>
          <w:numId w:val="40"/>
        </w:numPr>
        <w:spacing w:before="120"/>
        <w:ind w:left="357" w:hanging="357"/>
        <w:rPr>
          <w:rFonts w:ascii="Arial" w:hAnsi="Arial" w:cs="Arial"/>
          <w:b/>
          <w:bCs/>
          <w:sz w:val="22"/>
        </w:rPr>
      </w:pPr>
      <w:r w:rsidRPr="00310FC1">
        <w:rPr>
          <w:rFonts w:ascii="Arial" w:hAnsi="Arial" w:cs="Arial"/>
          <w:b/>
          <w:sz w:val="22"/>
        </w:rPr>
        <w:t xml:space="preserve">Follow-up </w:t>
      </w:r>
      <w:r>
        <w:rPr>
          <w:rFonts w:ascii="Arial" w:hAnsi="Arial" w:cs="Arial"/>
          <w:b/>
          <w:sz w:val="22"/>
        </w:rPr>
        <w:t>Evaluation</w:t>
      </w:r>
    </w:p>
    <w:p w14:paraId="35C5DCAD" w14:textId="77777777" w:rsidR="00FB5A73" w:rsidRDefault="00FB5A73" w:rsidP="00B1672D">
      <w:pPr>
        <w:pStyle w:val="Indent1"/>
        <w:spacing w:before="60"/>
        <w:ind w:left="0" w:firstLine="0"/>
        <w:rPr>
          <w:sz w:val="22"/>
        </w:rPr>
      </w:pPr>
      <w:r>
        <w:rPr>
          <w:szCs w:val="22"/>
        </w:rPr>
        <w:t xml:space="preserve">The Quality Manager is to </w:t>
      </w:r>
      <w:r>
        <w:rPr>
          <w:sz w:val="22"/>
        </w:rPr>
        <w:t xml:space="preserve">verify that the action has been completed and monitor its effectiveness. </w:t>
      </w:r>
    </w:p>
    <w:p w14:paraId="02AFAD85" w14:textId="77777777" w:rsidR="00FB5A73" w:rsidRDefault="00FB5A73" w:rsidP="00B1672D">
      <w:pPr>
        <w:pStyle w:val="Indent1"/>
        <w:spacing w:before="60"/>
        <w:ind w:left="0" w:firstLine="0"/>
        <w:rPr>
          <w:sz w:val="22"/>
        </w:rPr>
      </w:pPr>
      <w:r>
        <w:rPr>
          <w:sz w:val="22"/>
        </w:rPr>
        <w:t>The Quality Manager is to assess the effectiveness of the action(s) through monitoring of the processes impacted in the action for the occurrence/recurrence of non-conformances. The level of monitoring varies, depending upon the severity of the related non-conformance. For example, for minor non-conformances the next 1-3 processes may be monitored for occurrence/recurrence, or for major or critical non-conformances more than 3 processes may be reviewed. A time frame for monitoring may also be used, for example for CAPA associated with major non-conformances the action may be monitored for 3 months for effectiveness.</w:t>
      </w:r>
    </w:p>
    <w:p w14:paraId="28A08489" w14:textId="77777777" w:rsidR="00FB5A73" w:rsidRPr="006450C5" w:rsidRDefault="00FB5A73" w:rsidP="006450C5">
      <w:pPr>
        <w:pStyle w:val="Indent1"/>
        <w:numPr>
          <w:ilvl w:val="0"/>
          <w:numId w:val="40"/>
        </w:numPr>
        <w:spacing w:before="120"/>
        <w:ind w:left="357" w:hanging="357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>Management Review</w:t>
      </w:r>
    </w:p>
    <w:p w14:paraId="31093E9C" w14:textId="77777777" w:rsidR="00FB5A73" w:rsidRDefault="00FB5A73" w:rsidP="00C76BC8">
      <w:pPr>
        <w:pStyle w:val="Indent1"/>
        <w:spacing w:before="60"/>
        <w:ind w:left="0" w:firstLine="0"/>
        <w:rPr>
          <w:sz w:val="22"/>
        </w:rPr>
      </w:pPr>
      <w:r>
        <w:rPr>
          <w:sz w:val="22"/>
        </w:rPr>
        <w:t xml:space="preserve">CAPA reports and actions are reviewed by the </w:t>
      </w:r>
      <w:r>
        <w:rPr>
          <w:i/>
          <w:color w:val="FF0000"/>
        </w:rPr>
        <w:t xml:space="preserve">(Insert manufacturer’s name) </w:t>
      </w:r>
      <w:r>
        <w:rPr>
          <w:sz w:val="22"/>
        </w:rPr>
        <w:t xml:space="preserve">Management Meeting, refer to </w:t>
      </w:r>
      <w:r w:rsidRPr="00BB37EA">
        <w:rPr>
          <w:i/>
          <w:sz w:val="22"/>
        </w:rPr>
        <w:t>Compliance Management</w:t>
      </w:r>
      <w:r>
        <w:rPr>
          <w:sz w:val="22"/>
        </w:rPr>
        <w:t>.</w:t>
      </w:r>
    </w:p>
    <w:p w14:paraId="4AB3B20D" w14:textId="77777777" w:rsidR="00FB5A73" w:rsidRPr="006450C5" w:rsidRDefault="00FB5A73" w:rsidP="006450C5">
      <w:pPr>
        <w:pStyle w:val="Indent1"/>
        <w:numPr>
          <w:ilvl w:val="0"/>
          <w:numId w:val="40"/>
        </w:numPr>
        <w:spacing w:before="120"/>
        <w:ind w:left="357" w:hanging="357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>Closure</w:t>
      </w:r>
    </w:p>
    <w:p w14:paraId="6AC26C38" w14:textId="77777777" w:rsidR="00FB5A73" w:rsidRPr="00310FC1" w:rsidRDefault="00FB5A73" w:rsidP="00C76BC8">
      <w:pPr>
        <w:pStyle w:val="Indent1"/>
        <w:tabs>
          <w:tab w:val="left" w:pos="0"/>
        </w:tabs>
        <w:spacing w:before="60"/>
        <w:ind w:left="0" w:firstLine="0"/>
        <w:rPr>
          <w:sz w:val="22"/>
        </w:rPr>
      </w:pPr>
      <w:r>
        <w:rPr>
          <w:sz w:val="22"/>
        </w:rPr>
        <w:t xml:space="preserve">The Quality Manger may close the </w:t>
      </w:r>
      <w:r w:rsidRPr="00310FC1">
        <w:rPr>
          <w:sz w:val="22"/>
        </w:rPr>
        <w:t>Corrective and Preventative Action when th</w:t>
      </w:r>
      <w:r>
        <w:rPr>
          <w:sz w:val="22"/>
        </w:rPr>
        <w:t>ere is documented evidence that the corrective action has eliminated the</w:t>
      </w:r>
      <w:r w:rsidRPr="00310FC1">
        <w:rPr>
          <w:sz w:val="22"/>
        </w:rPr>
        <w:t xml:space="preserve"> root cause </w:t>
      </w:r>
      <w:r>
        <w:rPr>
          <w:sz w:val="22"/>
        </w:rPr>
        <w:t xml:space="preserve">or that </w:t>
      </w:r>
      <w:r w:rsidRPr="00BB37EA">
        <w:rPr>
          <w:sz w:val="22"/>
        </w:rPr>
        <w:t xml:space="preserve">the </w:t>
      </w:r>
      <w:r>
        <w:rPr>
          <w:sz w:val="22"/>
        </w:rPr>
        <w:t>pre-</w:t>
      </w:r>
      <w:r w:rsidRPr="00BB37EA">
        <w:rPr>
          <w:sz w:val="22"/>
        </w:rPr>
        <w:t>emptive action</w:t>
      </w:r>
      <w:r w:rsidRPr="00310FC1">
        <w:rPr>
          <w:sz w:val="22"/>
        </w:rPr>
        <w:t xml:space="preserve"> implemented </w:t>
      </w:r>
      <w:r>
        <w:rPr>
          <w:sz w:val="22"/>
        </w:rPr>
        <w:t xml:space="preserve">has prevented an occurrence of a related non-conformance. </w:t>
      </w:r>
    </w:p>
    <w:p w14:paraId="3FBE95D5" w14:textId="77777777" w:rsidR="00FB5A73" w:rsidRPr="008F2449" w:rsidRDefault="00FB5A73" w:rsidP="00C76BC8">
      <w:pPr>
        <w:pStyle w:val="Heading2"/>
      </w:pPr>
      <w:r w:rsidRPr="008F2449">
        <w:t>Records</w:t>
      </w:r>
    </w:p>
    <w:p w14:paraId="0D86DF07" w14:textId="77777777" w:rsidR="00FB5A73" w:rsidRPr="00DA6F5C" w:rsidRDefault="00FB5A73" w:rsidP="00C76BC8">
      <w:pPr>
        <w:tabs>
          <w:tab w:val="num" w:pos="426"/>
        </w:tabs>
      </w:pPr>
      <w:r>
        <w:t>Maintain a</w:t>
      </w:r>
      <w:r w:rsidRPr="00225339">
        <w:t xml:space="preserve">ll </w:t>
      </w:r>
      <w:r>
        <w:t>CAPA</w:t>
      </w:r>
      <w:r w:rsidRPr="00225339">
        <w:t xml:space="preserve"> records</w:t>
      </w:r>
      <w:r>
        <w:t xml:space="preserve"> </w:t>
      </w:r>
      <w:r w:rsidRPr="00225339">
        <w:t xml:space="preserve">in accordance with </w:t>
      </w:r>
      <w:r>
        <w:rPr>
          <w:i/>
        </w:rPr>
        <w:t>Record Management</w:t>
      </w:r>
      <w:r>
        <w:t xml:space="preserve"> and file, with the related non-conformance, in the CM Report files stored in the office of the Scientist in Charge. </w:t>
      </w:r>
    </w:p>
    <w:p w14:paraId="0A26D06F" w14:textId="77777777" w:rsidR="00FB5A73" w:rsidRPr="008F2449" w:rsidRDefault="00FB5A73" w:rsidP="00C76BC8">
      <w:pPr>
        <w:pStyle w:val="Heading2"/>
      </w:pPr>
      <w:r>
        <w:t>document</w:t>
      </w:r>
      <w:r w:rsidRPr="008F2449">
        <w:t>s</w:t>
      </w:r>
    </w:p>
    <w:p w14:paraId="0E16F158" w14:textId="77777777" w:rsidR="00FB5A73" w:rsidRDefault="00FB5A73" w:rsidP="00C76BC8">
      <w:pPr>
        <w:spacing w:before="40"/>
      </w:pPr>
      <w:r w:rsidRPr="00A92665">
        <w:rPr>
          <w:i/>
        </w:rPr>
        <w:t>Compliance Management</w:t>
      </w:r>
      <w:r w:rsidRPr="00A92665">
        <w:t xml:space="preserve"> DOC148</w:t>
      </w:r>
    </w:p>
    <w:p w14:paraId="2135673B" w14:textId="77777777" w:rsidR="00FB5A73" w:rsidRPr="00EB6D7C" w:rsidRDefault="00FB5A73" w:rsidP="00C76BC8">
      <w:pPr>
        <w:spacing w:before="40"/>
        <w:rPr>
          <w:color w:val="FF0000"/>
        </w:rPr>
      </w:pPr>
      <w:r w:rsidRPr="0039325C">
        <w:rPr>
          <w:i/>
          <w:color w:val="FF0000"/>
        </w:rPr>
        <w:t>Quality Software Application</w:t>
      </w:r>
      <w:r>
        <w:t xml:space="preserve"> DOC</w:t>
      </w:r>
      <w:r>
        <w:rPr>
          <w:color w:val="FF0000"/>
        </w:rPr>
        <w:t>XX</w:t>
      </w:r>
    </w:p>
    <w:p w14:paraId="18C606FF" w14:textId="77777777" w:rsidR="00FB5A73" w:rsidRDefault="00FB5A73" w:rsidP="00C76BC8">
      <w:pPr>
        <w:spacing w:before="40"/>
      </w:pPr>
      <w:r>
        <w:rPr>
          <w:i/>
        </w:rPr>
        <w:t xml:space="preserve">Quality Management </w:t>
      </w:r>
      <w:r w:rsidRPr="00DA6F5C">
        <w:t>DOC50</w:t>
      </w:r>
    </w:p>
    <w:p w14:paraId="00071FD6" w14:textId="77777777" w:rsidR="00FB5A73" w:rsidRPr="00A92665" w:rsidRDefault="00FB5A73" w:rsidP="00C76BC8">
      <w:pPr>
        <w:spacing w:before="40"/>
      </w:pPr>
      <w:r>
        <w:rPr>
          <w:i/>
        </w:rPr>
        <w:t xml:space="preserve">Record Management </w:t>
      </w:r>
      <w:r>
        <w:t>DOC52</w:t>
      </w:r>
    </w:p>
    <w:p w14:paraId="2C5CF4E3" w14:textId="77777777" w:rsidR="00FB5A73" w:rsidRDefault="00FB5A73" w:rsidP="00C76BC8">
      <w:pPr>
        <w:spacing w:before="40"/>
      </w:pPr>
      <w:r>
        <w:rPr>
          <w:i/>
        </w:rPr>
        <w:t xml:space="preserve">Root Cause Analysis </w:t>
      </w:r>
      <w:r w:rsidRPr="00A92665">
        <w:t>DOC156</w:t>
      </w:r>
    </w:p>
    <w:p w14:paraId="052B7F63" w14:textId="77777777" w:rsidR="00FB5A73" w:rsidRDefault="00FB5A73">
      <w:pPr>
        <w:pStyle w:val="Heading2"/>
      </w:pPr>
      <w:r>
        <w:t>Procedure History</w:t>
      </w: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1370"/>
        <w:gridCol w:w="4830"/>
        <w:gridCol w:w="1596"/>
        <w:gridCol w:w="1559"/>
      </w:tblGrid>
      <w:tr w:rsidR="00FB5A73" w14:paraId="0848D6DB" w14:textId="77777777" w:rsidTr="0049701D">
        <w:trPr>
          <w:cantSplit/>
          <w:tblHeader/>
        </w:trPr>
        <w:tc>
          <w:tcPr>
            <w:tcW w:w="993" w:type="dxa"/>
            <w:tcMar>
              <w:right w:w="28" w:type="dxa"/>
            </w:tcMar>
          </w:tcPr>
          <w:p w14:paraId="70C2AEB0" w14:textId="77777777" w:rsidR="00FB5A73" w:rsidRDefault="00FB5A73" w:rsidP="00C1584B">
            <w:pPr>
              <w:pStyle w:val="Heading5"/>
            </w:pPr>
            <w:r>
              <w:t>Revision</w:t>
            </w:r>
          </w:p>
        </w:tc>
        <w:tc>
          <w:tcPr>
            <w:tcW w:w="1370" w:type="dxa"/>
            <w:tcMar>
              <w:right w:w="28" w:type="dxa"/>
            </w:tcMar>
          </w:tcPr>
          <w:p w14:paraId="77B478D7" w14:textId="77777777" w:rsidR="00FB5A73" w:rsidRDefault="00FB5A73" w:rsidP="00C1584B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830" w:type="dxa"/>
          </w:tcPr>
          <w:p w14:paraId="618CC751" w14:textId="77777777" w:rsidR="00FB5A73" w:rsidRDefault="00FB5A73" w:rsidP="00C1584B">
            <w:pPr>
              <w:rPr>
                <w:b/>
              </w:rPr>
            </w:pPr>
            <w:r>
              <w:rPr>
                <w:b/>
              </w:rPr>
              <w:t>Modification</w:t>
            </w:r>
          </w:p>
        </w:tc>
        <w:tc>
          <w:tcPr>
            <w:tcW w:w="1596" w:type="dxa"/>
            <w:tcMar>
              <w:right w:w="28" w:type="dxa"/>
            </w:tcMar>
          </w:tcPr>
          <w:p w14:paraId="70C747F6" w14:textId="77777777" w:rsidR="00FB5A73" w:rsidRDefault="00FB5A73" w:rsidP="00C1584B">
            <w:pPr>
              <w:rPr>
                <w:b/>
              </w:rPr>
            </w:pPr>
            <w:r>
              <w:rPr>
                <w:b/>
              </w:rPr>
              <w:t xml:space="preserve">Approved </w:t>
            </w:r>
          </w:p>
        </w:tc>
        <w:tc>
          <w:tcPr>
            <w:tcW w:w="1559" w:type="dxa"/>
          </w:tcPr>
          <w:p w14:paraId="2820AAE5" w14:textId="77777777" w:rsidR="00FB5A73" w:rsidRDefault="00FB5A73" w:rsidP="00C1584B">
            <w:r>
              <w:rPr>
                <w:b/>
              </w:rPr>
              <w:t>Implemented</w:t>
            </w:r>
          </w:p>
        </w:tc>
      </w:tr>
      <w:tr w:rsidR="00FB5A73" w14:paraId="73FED095" w14:textId="77777777" w:rsidTr="0049701D">
        <w:trPr>
          <w:cantSplit/>
        </w:trPr>
        <w:tc>
          <w:tcPr>
            <w:tcW w:w="993" w:type="dxa"/>
          </w:tcPr>
          <w:p w14:paraId="6D6743DB" w14:textId="77777777" w:rsidR="00FB5A73" w:rsidRDefault="00FB5A73" w:rsidP="00C1584B">
            <w:pPr>
              <w:jc w:val="center"/>
            </w:pPr>
            <w:r>
              <w:t>1.0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2DA32085" w14:textId="77777777" w:rsidR="00FB5A73" w:rsidRPr="00A72DF3" w:rsidRDefault="00FB5A73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662360CF" w14:textId="77777777" w:rsidR="00FB5A73" w:rsidRDefault="00FB5A73" w:rsidP="00C1584B">
            <w:r>
              <w:t xml:space="preserve">Originally drafted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  <w:r>
              <w:t xml:space="preserve"> </w:t>
            </w:r>
          </w:p>
        </w:tc>
        <w:tc>
          <w:tcPr>
            <w:tcW w:w="1596" w:type="dxa"/>
            <w:tcMar>
              <w:right w:w="28" w:type="dxa"/>
            </w:tcMar>
          </w:tcPr>
          <w:p w14:paraId="7645E4E0" w14:textId="77777777" w:rsidR="00FB5A73" w:rsidRDefault="00FB5A73" w:rsidP="00C1584B">
            <w:pPr>
              <w:ind w:left="68" w:hanging="68"/>
            </w:pP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726A52FE" w14:textId="77777777" w:rsidR="00FB5A73" w:rsidRDefault="00FB5A73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</w:t>
            </w:r>
            <w:r w:rsidRPr="00A72DF3">
              <w:rPr>
                <w:color w:val="FF0000"/>
              </w:rPr>
              <w:t>)</w:t>
            </w:r>
          </w:p>
        </w:tc>
      </w:tr>
      <w:tr w:rsidR="00FB5A73" w14:paraId="22EF840C" w14:textId="77777777" w:rsidTr="0049701D">
        <w:trPr>
          <w:cantSplit/>
        </w:trPr>
        <w:tc>
          <w:tcPr>
            <w:tcW w:w="993" w:type="dxa"/>
          </w:tcPr>
          <w:p w14:paraId="1194DD24" w14:textId="77777777" w:rsidR="00FB5A73" w:rsidRDefault="00FB5A73" w:rsidP="00C1584B">
            <w:pPr>
              <w:jc w:val="center"/>
            </w:pPr>
            <w:r>
              <w:t>2.0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16F46F0B" w14:textId="77777777" w:rsidR="00FB5A73" w:rsidRPr="00A72DF3" w:rsidRDefault="00FB5A73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3A54BEFB" w14:textId="77777777" w:rsidR="00FB5A73" w:rsidRDefault="00FB5A73" w:rsidP="00C1584B">
            <w:r>
              <w:t xml:space="preserve">Revised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>
              <w:rPr>
                <w:i/>
                <w:color w:val="FF0000"/>
              </w:rPr>
              <w:t xml:space="preserve"> &amp; description of changes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96" w:type="dxa"/>
            <w:tcMar>
              <w:right w:w="28" w:type="dxa"/>
            </w:tcMar>
          </w:tcPr>
          <w:p w14:paraId="602F6FAF" w14:textId="77777777" w:rsidR="00FB5A73" w:rsidRDefault="00FB5A73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16DC77E0" w14:textId="77777777" w:rsidR="00FB5A73" w:rsidRDefault="00FB5A73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date)</w:t>
            </w:r>
          </w:p>
        </w:tc>
      </w:tr>
    </w:tbl>
    <w:p w14:paraId="59A998A0" w14:textId="77777777" w:rsidR="00FB5A73" w:rsidRPr="00C76BC8" w:rsidRDefault="00FB5A73" w:rsidP="00C76BC8">
      <w:pPr>
        <w:spacing w:before="0"/>
        <w:rPr>
          <w:sz w:val="4"/>
          <w:szCs w:val="4"/>
        </w:rPr>
      </w:pPr>
    </w:p>
    <w:sectPr w:rsidR="00FB5A73" w:rsidRPr="00C76BC8" w:rsidSect="009A0471">
      <w:headerReference w:type="default" r:id="rId7"/>
      <w:footerReference w:type="default" r:id="rId8"/>
      <w:pgSz w:w="11907" w:h="16840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52708" w14:textId="77777777" w:rsidR="00F87D7C" w:rsidRDefault="00F87D7C">
      <w:r>
        <w:separator/>
      </w:r>
    </w:p>
  </w:endnote>
  <w:endnote w:type="continuationSeparator" w:id="0">
    <w:p w14:paraId="695F1DAB" w14:textId="77777777" w:rsidR="00F87D7C" w:rsidRDefault="00F87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26668" w14:textId="77777777" w:rsidR="00FB5A73" w:rsidRDefault="00FB5A73" w:rsidP="0049701D">
    <w:pPr>
      <w:pStyle w:val="Footer"/>
      <w:tabs>
        <w:tab w:val="clear" w:pos="4820"/>
      </w:tabs>
    </w:pPr>
    <w:r>
      <w:t xml:space="preserve">Author: </w:t>
    </w:r>
    <w:r w:rsidRPr="00326EB4">
      <w:rPr>
        <w:i/>
        <w:color w:val="FF0000"/>
      </w:rPr>
      <w:t>(Insert author’s name)</w:t>
    </w:r>
    <w:r>
      <w:tab/>
      <w:t xml:space="preserve">Revision: </w:t>
    </w:r>
    <w:r w:rsidRPr="00326EB4">
      <w:rPr>
        <w:i/>
        <w:color w:val="FF0000"/>
      </w:rPr>
      <w:t>(Insert revision number)</w:t>
    </w:r>
  </w:p>
  <w:p w14:paraId="342F7AD9" w14:textId="0EDE6334" w:rsidR="00FB5A73" w:rsidRDefault="00FB5A73" w:rsidP="0049701D">
    <w:pPr>
      <w:pStyle w:val="Footer"/>
    </w:pPr>
    <w:r>
      <w:t xml:space="preserve">Owner: </w:t>
    </w:r>
    <w:r w:rsidRPr="00326EB4">
      <w:rPr>
        <w:i/>
        <w:color w:val="FF0000"/>
      </w:rPr>
      <w:t>(Insert</w:t>
    </w:r>
    <w:r>
      <w:rPr>
        <w:i/>
        <w:color w:val="FF0000"/>
      </w:rPr>
      <w:t xml:space="preserve"> document</w:t>
    </w:r>
    <w:r w:rsidRPr="00326EB4">
      <w:rPr>
        <w:i/>
        <w:color w:val="FF0000"/>
      </w:rPr>
      <w:t xml:space="preserve"> owner’s name)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15805">
      <w:rPr>
        <w:rStyle w:val="PageNumber"/>
        <w:noProof/>
      </w:rPr>
      <w:t>2</w:t>
    </w:r>
    <w:r>
      <w:rPr>
        <w:rStyle w:val="PageNumber"/>
      </w:rPr>
      <w:fldChar w:fldCharType="end"/>
    </w:r>
    <w:r>
      <w:t xml:space="preserve"> of </w:t>
    </w:r>
    <w:fldSimple w:instr=" NUMPAGES  \* MERGEFORMAT ">
      <w:r w:rsidR="00915805">
        <w:rPr>
          <w:noProof/>
        </w:rPr>
        <w:t>2</w:t>
      </w:r>
    </w:fldSimple>
    <w:r w:rsidR="00B225F6">
      <w:rPr>
        <w:noProof/>
      </w:rPr>
      <w:t xml:space="preserve"> </w:t>
    </w:r>
    <w:r w:rsidR="00B225F6" w:rsidRPr="00B225F6">
      <w:rPr>
        <w:noProof/>
        <w:color w:val="00B050"/>
      </w:rPr>
      <w:t>Update Sept 2019</w:t>
    </w:r>
    <w:r>
      <w:tab/>
      <w:t xml:space="preserve">Active Date: </w:t>
    </w:r>
    <w:r w:rsidRPr="00326EB4">
      <w:rPr>
        <w:i/>
        <w:color w:val="FF0000"/>
      </w:rPr>
      <w:t>(Insert active date)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51433" w14:textId="77777777" w:rsidR="00F87D7C" w:rsidRDefault="00F87D7C">
      <w:r>
        <w:separator/>
      </w:r>
    </w:p>
  </w:footnote>
  <w:footnote w:type="continuationSeparator" w:id="0">
    <w:p w14:paraId="7DCB6C2A" w14:textId="77777777" w:rsidR="00F87D7C" w:rsidRDefault="00F87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C6481" w14:textId="77777777" w:rsidR="00FB5A73" w:rsidRDefault="00FB5A73">
    <w:pPr>
      <w:pStyle w:val="Header"/>
    </w:pPr>
    <w:r>
      <w:tab/>
    </w:r>
    <w:r>
      <w:tab/>
    </w:r>
    <w:fldSimple w:instr=" DOCPROPERTY &quot;Category&quot;  \* MERGEFORMAT ">
      <w:r>
        <w:t>Quality Manual</w:t>
      </w:r>
    </w:fldSimple>
  </w:p>
  <w:p w14:paraId="67B865C7" w14:textId="77777777" w:rsidR="00FB5A73" w:rsidRDefault="00FB5A73">
    <w:pPr>
      <w:pStyle w:val="Header"/>
    </w:pPr>
    <w:r>
      <w:rPr>
        <w:i/>
        <w:color w:val="FF0000"/>
      </w:rPr>
      <w:t xml:space="preserve"> (Insert manufacturer name &amp; logo)</w:t>
    </w:r>
    <w:r>
      <w:tab/>
    </w:r>
    <w:fldSimple w:instr=" TITLE  \* MERGEFORMAT ">
      <w:r>
        <w:t>Corrective &amp; Preventative Action</w:t>
      </w:r>
    </w:fldSimple>
    <w:r>
      <w:t xml:space="preserve">   </w:t>
    </w:r>
    <w:fldSimple w:instr=" SUBJECT  \* MERGEFORMAT ">
      <w:r>
        <w:t>DOC154</w:t>
      </w:r>
    </w:fldSimple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F79"/>
    <w:multiLevelType w:val="hybridMultilevel"/>
    <w:tmpl w:val="7AFA6778"/>
    <w:lvl w:ilvl="0" w:tplc="0C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5B46827"/>
    <w:multiLevelType w:val="hybridMultilevel"/>
    <w:tmpl w:val="E5AEDBB4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CC2051"/>
    <w:multiLevelType w:val="hybridMultilevel"/>
    <w:tmpl w:val="F75039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25B9"/>
    <w:multiLevelType w:val="singleLevel"/>
    <w:tmpl w:val="56963C9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4" w15:restartNumberingAfterBreak="0">
    <w:nsid w:val="0D6F1876"/>
    <w:multiLevelType w:val="multilevel"/>
    <w:tmpl w:val="5A6C6E04"/>
    <w:lvl w:ilvl="0">
      <w:start w:val="3"/>
      <w:numFmt w:val="decimal"/>
      <w:lvlText w:val="%1.0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5" w15:restartNumberingAfterBreak="0">
    <w:nsid w:val="0DD01B3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EC96CC2"/>
    <w:multiLevelType w:val="hybridMultilevel"/>
    <w:tmpl w:val="42E018C2"/>
    <w:lvl w:ilvl="0" w:tplc="0C0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12C83AAE"/>
    <w:multiLevelType w:val="singleLevel"/>
    <w:tmpl w:val="D0864C6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8" w15:restartNumberingAfterBreak="0">
    <w:nsid w:val="13253168"/>
    <w:multiLevelType w:val="singleLevel"/>
    <w:tmpl w:val="56963C9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9" w15:restartNumberingAfterBreak="0">
    <w:nsid w:val="18C91242"/>
    <w:multiLevelType w:val="hybridMultilevel"/>
    <w:tmpl w:val="436E29B8"/>
    <w:lvl w:ilvl="0" w:tplc="0C0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0" w15:restartNumberingAfterBreak="0">
    <w:nsid w:val="1FBD5935"/>
    <w:multiLevelType w:val="hybridMultilevel"/>
    <w:tmpl w:val="125E13A2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02D161C"/>
    <w:multiLevelType w:val="hybridMultilevel"/>
    <w:tmpl w:val="60761E5E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185097"/>
    <w:multiLevelType w:val="hybridMultilevel"/>
    <w:tmpl w:val="EF5E83C6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5893458"/>
    <w:multiLevelType w:val="hybridMultilevel"/>
    <w:tmpl w:val="92901AF0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83A7C15"/>
    <w:multiLevelType w:val="hybridMultilevel"/>
    <w:tmpl w:val="0624E4B0"/>
    <w:lvl w:ilvl="0" w:tplc="0C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92815A3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E0D5DE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2E727DA5"/>
    <w:multiLevelType w:val="hybridMultilevel"/>
    <w:tmpl w:val="34F26FE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F355DF"/>
    <w:multiLevelType w:val="singleLevel"/>
    <w:tmpl w:val="56963C9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19" w15:restartNumberingAfterBreak="0">
    <w:nsid w:val="2F2B3AE4"/>
    <w:multiLevelType w:val="hybridMultilevel"/>
    <w:tmpl w:val="D49621D6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04F7180"/>
    <w:multiLevelType w:val="multilevel"/>
    <w:tmpl w:val="3068548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1" w15:restartNumberingAfterBreak="0">
    <w:nsid w:val="3118274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33866454"/>
    <w:multiLevelType w:val="singleLevel"/>
    <w:tmpl w:val="BE542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94B2A5D"/>
    <w:multiLevelType w:val="multilevel"/>
    <w:tmpl w:val="D54675A4"/>
    <w:lvl w:ilvl="0">
      <w:start w:val="7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 w15:restartNumberingAfterBreak="0">
    <w:nsid w:val="3FF26C3F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402470F5"/>
    <w:multiLevelType w:val="hybridMultilevel"/>
    <w:tmpl w:val="895E6B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50204"/>
    <w:multiLevelType w:val="hybridMultilevel"/>
    <w:tmpl w:val="A97A506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6E176F9"/>
    <w:multiLevelType w:val="multilevel"/>
    <w:tmpl w:val="CDE8D03A"/>
    <w:lvl w:ilvl="0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836" w:hanging="360"/>
      </w:pPr>
      <w:rPr>
        <w:rFonts w:ascii="Arial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ind w:left="45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74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518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65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42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85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9334" w:hanging="1440"/>
      </w:pPr>
      <w:rPr>
        <w:rFonts w:cs="Times New Roman" w:hint="default"/>
      </w:rPr>
    </w:lvl>
  </w:abstractNum>
  <w:abstractNum w:abstractNumId="28" w15:restartNumberingAfterBreak="0">
    <w:nsid w:val="4B0E0ABB"/>
    <w:multiLevelType w:val="hybridMultilevel"/>
    <w:tmpl w:val="FC82C5C2"/>
    <w:lvl w:ilvl="0" w:tplc="0C09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4C144EF6"/>
    <w:multiLevelType w:val="hybridMultilevel"/>
    <w:tmpl w:val="34C4A44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D66FD9"/>
    <w:multiLevelType w:val="hybridMultilevel"/>
    <w:tmpl w:val="4C26CB84"/>
    <w:lvl w:ilvl="0" w:tplc="0C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1" w15:restartNumberingAfterBreak="0">
    <w:nsid w:val="53ED7010"/>
    <w:multiLevelType w:val="hybridMultilevel"/>
    <w:tmpl w:val="87462730"/>
    <w:lvl w:ilvl="0" w:tplc="0C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5C7C3BD0"/>
    <w:multiLevelType w:val="hybridMultilevel"/>
    <w:tmpl w:val="14E862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A644B"/>
    <w:multiLevelType w:val="hybridMultilevel"/>
    <w:tmpl w:val="764E2652"/>
    <w:lvl w:ilvl="0" w:tplc="0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34" w15:restartNumberingAfterBreak="0">
    <w:nsid w:val="6ED24521"/>
    <w:multiLevelType w:val="hybridMultilevel"/>
    <w:tmpl w:val="F8DE04FA"/>
    <w:lvl w:ilvl="0" w:tplc="0C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6F3F1831"/>
    <w:multiLevelType w:val="hybridMultilevel"/>
    <w:tmpl w:val="7C66CAC6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5371AA0"/>
    <w:multiLevelType w:val="singleLevel"/>
    <w:tmpl w:val="D0864C6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37" w15:restartNumberingAfterBreak="0">
    <w:nsid w:val="76A7293F"/>
    <w:multiLevelType w:val="hybridMultilevel"/>
    <w:tmpl w:val="7D2C6A32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771B16DC"/>
    <w:multiLevelType w:val="hybridMultilevel"/>
    <w:tmpl w:val="C3029ED4"/>
    <w:lvl w:ilvl="0" w:tplc="0C090001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77D150EF"/>
    <w:multiLevelType w:val="singleLevel"/>
    <w:tmpl w:val="29FCF5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</w:abstractNum>
  <w:abstractNum w:abstractNumId="40" w15:restartNumberingAfterBreak="0">
    <w:nsid w:val="7B763878"/>
    <w:multiLevelType w:val="hybridMultilevel"/>
    <w:tmpl w:val="260A97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9F5980"/>
    <w:multiLevelType w:val="multilevel"/>
    <w:tmpl w:val="3CE81F2A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137"/>
        </w:tabs>
        <w:ind w:left="1137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num w:numId="1">
    <w:abstractNumId w:val="16"/>
  </w:num>
  <w:num w:numId="2">
    <w:abstractNumId w:val="22"/>
  </w:num>
  <w:num w:numId="3">
    <w:abstractNumId w:val="5"/>
  </w:num>
  <w:num w:numId="4">
    <w:abstractNumId w:val="39"/>
  </w:num>
  <w:num w:numId="5">
    <w:abstractNumId w:val="8"/>
  </w:num>
  <w:num w:numId="6">
    <w:abstractNumId w:val="18"/>
  </w:num>
  <w:num w:numId="7">
    <w:abstractNumId w:val="3"/>
  </w:num>
  <w:num w:numId="8">
    <w:abstractNumId w:val="24"/>
  </w:num>
  <w:num w:numId="9">
    <w:abstractNumId w:val="7"/>
  </w:num>
  <w:num w:numId="10">
    <w:abstractNumId w:val="36"/>
  </w:num>
  <w:num w:numId="11">
    <w:abstractNumId w:val="15"/>
  </w:num>
  <w:num w:numId="12">
    <w:abstractNumId w:val="21"/>
  </w:num>
  <w:num w:numId="13">
    <w:abstractNumId w:val="2"/>
  </w:num>
  <w:num w:numId="14">
    <w:abstractNumId w:val="34"/>
  </w:num>
  <w:num w:numId="15">
    <w:abstractNumId w:val="31"/>
  </w:num>
  <w:num w:numId="16">
    <w:abstractNumId w:val="33"/>
  </w:num>
  <w:num w:numId="17">
    <w:abstractNumId w:val="28"/>
  </w:num>
  <w:num w:numId="18">
    <w:abstractNumId w:val="41"/>
  </w:num>
  <w:num w:numId="19">
    <w:abstractNumId w:val="20"/>
  </w:num>
  <w:num w:numId="20">
    <w:abstractNumId w:val="23"/>
  </w:num>
  <w:num w:numId="21">
    <w:abstractNumId w:val="27"/>
  </w:num>
  <w:num w:numId="22">
    <w:abstractNumId w:val="10"/>
  </w:num>
  <w:num w:numId="23">
    <w:abstractNumId w:val="37"/>
  </w:num>
  <w:num w:numId="24">
    <w:abstractNumId w:val="30"/>
  </w:num>
  <w:num w:numId="25">
    <w:abstractNumId w:val="13"/>
  </w:num>
  <w:num w:numId="26">
    <w:abstractNumId w:val="4"/>
  </w:num>
  <w:num w:numId="27">
    <w:abstractNumId w:val="9"/>
  </w:num>
  <w:num w:numId="28">
    <w:abstractNumId w:val="38"/>
  </w:num>
  <w:num w:numId="29">
    <w:abstractNumId w:val="12"/>
  </w:num>
  <w:num w:numId="30">
    <w:abstractNumId w:val="25"/>
  </w:num>
  <w:num w:numId="31">
    <w:abstractNumId w:val="6"/>
  </w:num>
  <w:num w:numId="32">
    <w:abstractNumId w:val="40"/>
  </w:num>
  <w:num w:numId="33">
    <w:abstractNumId w:val="11"/>
  </w:num>
  <w:num w:numId="34">
    <w:abstractNumId w:val="1"/>
  </w:num>
  <w:num w:numId="35">
    <w:abstractNumId w:val="0"/>
  </w:num>
  <w:num w:numId="36">
    <w:abstractNumId w:val="14"/>
  </w:num>
  <w:num w:numId="37">
    <w:abstractNumId w:val="29"/>
  </w:num>
  <w:num w:numId="38">
    <w:abstractNumId w:val="19"/>
  </w:num>
  <w:num w:numId="39">
    <w:abstractNumId w:val="17"/>
  </w:num>
  <w:num w:numId="40">
    <w:abstractNumId w:val="26"/>
  </w:num>
  <w:num w:numId="41">
    <w:abstractNumId w:val="32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5663"/>
    <w:rsid w:val="000219B9"/>
    <w:rsid w:val="00066859"/>
    <w:rsid w:val="00076D88"/>
    <w:rsid w:val="000B35AD"/>
    <w:rsid w:val="000D70A7"/>
    <w:rsid w:val="00153AAC"/>
    <w:rsid w:val="001B3951"/>
    <w:rsid w:val="001C317F"/>
    <w:rsid w:val="001F7129"/>
    <w:rsid w:val="00225339"/>
    <w:rsid w:val="00231ADC"/>
    <w:rsid w:val="00254736"/>
    <w:rsid w:val="00282483"/>
    <w:rsid w:val="002E59F8"/>
    <w:rsid w:val="002F4B10"/>
    <w:rsid w:val="00310FC1"/>
    <w:rsid w:val="00326EB4"/>
    <w:rsid w:val="003378AB"/>
    <w:rsid w:val="00344110"/>
    <w:rsid w:val="00365FDF"/>
    <w:rsid w:val="00375663"/>
    <w:rsid w:val="00385E91"/>
    <w:rsid w:val="0039325C"/>
    <w:rsid w:val="003A3CF3"/>
    <w:rsid w:val="003B535D"/>
    <w:rsid w:val="003D0CF1"/>
    <w:rsid w:val="004019B4"/>
    <w:rsid w:val="00427346"/>
    <w:rsid w:val="0043561F"/>
    <w:rsid w:val="00450246"/>
    <w:rsid w:val="0048568A"/>
    <w:rsid w:val="004861A7"/>
    <w:rsid w:val="004921B7"/>
    <w:rsid w:val="0049701D"/>
    <w:rsid w:val="004B01FA"/>
    <w:rsid w:val="004C471D"/>
    <w:rsid w:val="004D448E"/>
    <w:rsid w:val="004F1B09"/>
    <w:rsid w:val="00530F8A"/>
    <w:rsid w:val="005349DB"/>
    <w:rsid w:val="00560DFE"/>
    <w:rsid w:val="00577EE2"/>
    <w:rsid w:val="005A2F98"/>
    <w:rsid w:val="005B70C2"/>
    <w:rsid w:val="005F08D4"/>
    <w:rsid w:val="00610521"/>
    <w:rsid w:val="00631928"/>
    <w:rsid w:val="006328D9"/>
    <w:rsid w:val="006450C5"/>
    <w:rsid w:val="006E1F89"/>
    <w:rsid w:val="00707B47"/>
    <w:rsid w:val="0078614B"/>
    <w:rsid w:val="00796ED9"/>
    <w:rsid w:val="00813C22"/>
    <w:rsid w:val="00816698"/>
    <w:rsid w:val="00816D6B"/>
    <w:rsid w:val="00856AE5"/>
    <w:rsid w:val="00860642"/>
    <w:rsid w:val="00862711"/>
    <w:rsid w:val="00897DA1"/>
    <w:rsid w:val="008F2449"/>
    <w:rsid w:val="009023C9"/>
    <w:rsid w:val="00915805"/>
    <w:rsid w:val="009510AD"/>
    <w:rsid w:val="00982389"/>
    <w:rsid w:val="009830E6"/>
    <w:rsid w:val="009909F8"/>
    <w:rsid w:val="009967F1"/>
    <w:rsid w:val="009A0471"/>
    <w:rsid w:val="009A6C1B"/>
    <w:rsid w:val="00A15285"/>
    <w:rsid w:val="00A23A19"/>
    <w:rsid w:val="00A31F67"/>
    <w:rsid w:val="00A55993"/>
    <w:rsid w:val="00A66BEF"/>
    <w:rsid w:val="00A72DF3"/>
    <w:rsid w:val="00A91AE1"/>
    <w:rsid w:val="00A92665"/>
    <w:rsid w:val="00AA42F8"/>
    <w:rsid w:val="00AE36A9"/>
    <w:rsid w:val="00B1672D"/>
    <w:rsid w:val="00B225F6"/>
    <w:rsid w:val="00B27567"/>
    <w:rsid w:val="00B3059F"/>
    <w:rsid w:val="00B70ACD"/>
    <w:rsid w:val="00B9149E"/>
    <w:rsid w:val="00B94A86"/>
    <w:rsid w:val="00BA1D8F"/>
    <w:rsid w:val="00BA61A7"/>
    <w:rsid w:val="00BB37EA"/>
    <w:rsid w:val="00BE631F"/>
    <w:rsid w:val="00BE7BE2"/>
    <w:rsid w:val="00C1584B"/>
    <w:rsid w:val="00C738D2"/>
    <w:rsid w:val="00C76BC8"/>
    <w:rsid w:val="00CC49DE"/>
    <w:rsid w:val="00CC4A3F"/>
    <w:rsid w:val="00CC637E"/>
    <w:rsid w:val="00CE1F03"/>
    <w:rsid w:val="00CE1F19"/>
    <w:rsid w:val="00CE3CBA"/>
    <w:rsid w:val="00D33328"/>
    <w:rsid w:val="00D70120"/>
    <w:rsid w:val="00D70EBF"/>
    <w:rsid w:val="00D760B8"/>
    <w:rsid w:val="00DA6F5C"/>
    <w:rsid w:val="00DC0524"/>
    <w:rsid w:val="00DC32D2"/>
    <w:rsid w:val="00DF1CB2"/>
    <w:rsid w:val="00DF27C6"/>
    <w:rsid w:val="00E3441A"/>
    <w:rsid w:val="00E43097"/>
    <w:rsid w:val="00E45E96"/>
    <w:rsid w:val="00EB6D7C"/>
    <w:rsid w:val="00F87D7C"/>
    <w:rsid w:val="00F9082C"/>
    <w:rsid w:val="00FA7A7F"/>
    <w:rsid w:val="00FB5A73"/>
    <w:rsid w:val="00FB63CC"/>
    <w:rsid w:val="00FE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C5B5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A0471"/>
    <w:pPr>
      <w:spacing w:before="6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0471"/>
    <w:pPr>
      <w:keepNext/>
      <w:spacing w:before="240"/>
      <w:jc w:val="center"/>
      <w:outlineLvl w:val="0"/>
    </w:pPr>
    <w:rPr>
      <w:rFonts w:ascii="Arial" w:hAnsi="Arial"/>
      <w:b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0471"/>
    <w:pPr>
      <w:keepNext/>
      <w:spacing w:before="240"/>
      <w:jc w:val="both"/>
      <w:outlineLvl w:val="1"/>
    </w:pPr>
    <w:rPr>
      <w:rFonts w:ascii="Arial" w:hAnsi="Arial"/>
      <w:b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0471"/>
    <w:pPr>
      <w:keepNext/>
      <w:spacing w:before="120"/>
      <w:jc w:val="both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0471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9A0471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9A0471"/>
    <w:pPr>
      <w:keepNext/>
      <w:jc w:val="both"/>
      <w:outlineLvl w:val="5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365FD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locked/>
    <w:rsid w:val="00D70120"/>
    <w:rPr>
      <w:rFonts w:ascii="Arial" w:hAnsi="Arial" w:cs="Times New Roman"/>
      <w:b/>
      <w:caps/>
      <w:sz w:val="24"/>
    </w:rPr>
  </w:style>
  <w:style w:type="character" w:customStyle="1" w:styleId="Heading3Char">
    <w:name w:val="Heading 3 Char"/>
    <w:link w:val="Heading3"/>
    <w:uiPriority w:val="99"/>
    <w:semiHidden/>
    <w:locked/>
    <w:rsid w:val="00365FD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sid w:val="00365FD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365FD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locked/>
    <w:rsid w:val="00365FDF"/>
    <w:rPr>
      <w:rFonts w:ascii="Calibri" w:hAnsi="Calibri" w:cs="Times New Roman"/>
      <w:b/>
      <w:bCs/>
    </w:rPr>
  </w:style>
  <w:style w:type="paragraph" w:styleId="Header">
    <w:name w:val="header"/>
    <w:basedOn w:val="Normal"/>
    <w:link w:val="HeaderChar"/>
    <w:uiPriority w:val="99"/>
    <w:rsid w:val="009A0471"/>
    <w:pPr>
      <w:pBdr>
        <w:bottom w:val="single" w:sz="6" w:space="1" w:color="auto"/>
      </w:pBdr>
      <w:tabs>
        <w:tab w:val="left" w:pos="680"/>
        <w:tab w:val="right" w:pos="9639"/>
      </w:tabs>
      <w:spacing w:before="0"/>
    </w:pPr>
    <w:rPr>
      <w:sz w:val="20"/>
    </w:rPr>
  </w:style>
  <w:style w:type="character" w:customStyle="1" w:styleId="HeaderChar">
    <w:name w:val="Header Char"/>
    <w:link w:val="Header"/>
    <w:uiPriority w:val="99"/>
    <w:semiHidden/>
    <w:locked/>
    <w:rsid w:val="00365FD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A0471"/>
    <w:pPr>
      <w:pBdr>
        <w:top w:val="single" w:sz="6" w:space="1" w:color="auto"/>
      </w:pBdr>
      <w:tabs>
        <w:tab w:val="center" w:pos="4820"/>
        <w:tab w:val="right" w:pos="9639"/>
      </w:tabs>
      <w:spacing w:before="0"/>
    </w:pPr>
    <w:rPr>
      <w:sz w:val="16"/>
    </w:rPr>
  </w:style>
  <w:style w:type="character" w:customStyle="1" w:styleId="FooterChar">
    <w:name w:val="Footer Char"/>
    <w:link w:val="Footer"/>
    <w:uiPriority w:val="99"/>
    <w:semiHidden/>
    <w:locked/>
    <w:rsid w:val="00365FDF"/>
    <w:rPr>
      <w:rFonts w:cs="Times New Roman"/>
      <w:sz w:val="20"/>
      <w:szCs w:val="20"/>
    </w:rPr>
  </w:style>
  <w:style w:type="character" w:styleId="PageNumber">
    <w:name w:val="page number"/>
    <w:uiPriority w:val="99"/>
    <w:rsid w:val="009A0471"/>
    <w:rPr>
      <w:rFonts w:cs="Times New Roman"/>
    </w:rPr>
  </w:style>
  <w:style w:type="paragraph" w:styleId="EnvelopeAddress">
    <w:name w:val="envelope address"/>
    <w:basedOn w:val="Normal"/>
    <w:uiPriority w:val="99"/>
    <w:rsid w:val="009A0471"/>
    <w:pPr>
      <w:framePr w:w="7920" w:h="1980" w:hRule="exact" w:hSpace="180" w:wrap="auto" w:hAnchor="page" w:xAlign="center" w:yAlign="bottom"/>
      <w:spacing w:before="0"/>
      <w:ind w:left="1701"/>
    </w:pPr>
    <w:rPr>
      <w:sz w:val="28"/>
    </w:rPr>
  </w:style>
  <w:style w:type="paragraph" w:styleId="EnvelopeReturn">
    <w:name w:val="envelope return"/>
    <w:basedOn w:val="Normal"/>
    <w:uiPriority w:val="99"/>
    <w:rsid w:val="009A0471"/>
    <w:pPr>
      <w:spacing w:before="0"/>
    </w:pPr>
    <w:rPr>
      <w:sz w:val="16"/>
    </w:rPr>
  </w:style>
  <w:style w:type="paragraph" w:styleId="NormalIndent">
    <w:name w:val="Normal Indent"/>
    <w:basedOn w:val="Normal"/>
    <w:uiPriority w:val="99"/>
    <w:rsid w:val="009A0471"/>
    <w:pPr>
      <w:ind w:left="720"/>
    </w:pPr>
  </w:style>
  <w:style w:type="character" w:styleId="CommentReference">
    <w:name w:val="annotation reference"/>
    <w:uiPriority w:val="99"/>
    <w:semiHidden/>
    <w:rsid w:val="009A047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A047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365FDF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A0471"/>
    <w:pPr>
      <w:jc w:val="center"/>
    </w:pPr>
    <w:rPr>
      <w:b/>
      <w:sz w:val="24"/>
    </w:rPr>
  </w:style>
  <w:style w:type="character" w:customStyle="1" w:styleId="TitleChar">
    <w:name w:val="Title Char"/>
    <w:link w:val="Title"/>
    <w:uiPriority w:val="99"/>
    <w:locked/>
    <w:rsid w:val="00365FDF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NumberPara">
    <w:name w:val="NumberPara"/>
    <w:basedOn w:val="Normal"/>
    <w:uiPriority w:val="99"/>
    <w:rsid w:val="009A0471"/>
    <w:pPr>
      <w:spacing w:after="60"/>
      <w:ind w:left="567" w:hanging="567"/>
      <w:jc w:val="both"/>
    </w:pPr>
    <w:rPr>
      <w:sz w:val="24"/>
    </w:rPr>
  </w:style>
  <w:style w:type="paragraph" w:styleId="BodyText">
    <w:name w:val="Body Text"/>
    <w:basedOn w:val="Normal"/>
    <w:link w:val="BodyTextChar"/>
    <w:uiPriority w:val="99"/>
    <w:rsid w:val="009A0471"/>
    <w:pPr>
      <w:jc w:val="both"/>
    </w:pPr>
  </w:style>
  <w:style w:type="character" w:customStyle="1" w:styleId="BodyTextChar">
    <w:name w:val="Body Text Char"/>
    <w:link w:val="BodyText"/>
    <w:uiPriority w:val="99"/>
    <w:semiHidden/>
    <w:locked/>
    <w:rsid w:val="00365FDF"/>
    <w:rPr>
      <w:rFonts w:cs="Times New Roman"/>
      <w:sz w:val="20"/>
      <w:szCs w:val="20"/>
    </w:rPr>
  </w:style>
  <w:style w:type="paragraph" w:customStyle="1" w:styleId="Indent1">
    <w:name w:val="Indent 1"/>
    <w:basedOn w:val="Normal"/>
    <w:uiPriority w:val="99"/>
    <w:rsid w:val="00A15285"/>
    <w:pPr>
      <w:overflowPunct w:val="0"/>
      <w:autoSpaceDE w:val="0"/>
      <w:autoSpaceDN w:val="0"/>
      <w:adjustRightInd w:val="0"/>
      <w:spacing w:before="0"/>
      <w:ind w:left="1134" w:hanging="567"/>
      <w:textAlignment w:val="baseline"/>
    </w:pPr>
    <w:rPr>
      <w:sz w:val="24"/>
      <w:lang w:eastAsia="en-US"/>
    </w:rPr>
  </w:style>
  <w:style w:type="table" w:styleId="TableGrid">
    <w:name w:val="Table Grid"/>
    <w:basedOn w:val="TableNormal"/>
    <w:uiPriority w:val="99"/>
    <w:locked/>
    <w:rsid w:val="00B27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21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thology\RPH\Cell%20&amp;%20Tissue%20Lab\Q%20Pulse%20Documents\QPuls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3D17FA-B205-44B8-BB81-69425ACB13A5}"/>
</file>

<file path=customXml/itemProps2.xml><?xml version="1.0" encoding="utf-8"?>
<ds:datastoreItem xmlns:ds="http://schemas.openxmlformats.org/officeDocument/2006/customXml" ds:itemID="{CACDE2BB-BBE1-4219-BC07-8215CBFBEE2C}"/>
</file>

<file path=customXml/itemProps3.xml><?xml version="1.0" encoding="utf-8"?>
<ds:datastoreItem xmlns:ds="http://schemas.openxmlformats.org/officeDocument/2006/customXml" ds:itemID="{68F16E1F-7DEC-47CB-8FE7-753538804671}"/>
</file>

<file path=docProps/app.xml><?xml version="1.0" encoding="utf-8"?>
<Properties xmlns="http://schemas.openxmlformats.org/officeDocument/2006/extended-properties" xmlns:vt="http://schemas.openxmlformats.org/officeDocument/2006/docPropsVTypes">
  <Template>QPulse Template.dot</Template>
  <TotalTime>5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Corrective &amp; Preventative Action</vt:lpstr>
    </vt:vector>
  </TitlesOfParts>
  <Manager/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Corrective &amp; Preventative Action</dc:title>
  <dc:subject>DOC154</dc:subject>
  <dc:creator/>
  <cp:keywords>1.0</cp:keywords>
  <dc:description/>
  <cp:lastModifiedBy/>
  <cp:revision>4</cp:revision>
  <cp:lastPrinted>2015-01-29T05:19:00Z</cp:lastPrinted>
  <dcterms:created xsi:type="dcterms:W3CDTF">2015-01-30T05:19:00Z</dcterms:created>
  <dcterms:modified xsi:type="dcterms:W3CDTF">2019-09-20T04:04:00Z</dcterms:modified>
  <cp:category>Quality Manual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VersionDate">
    <vt:lpwstr>19/07/2004</vt:lpwstr>
  </property>
  <property fmtid="{D5CDD505-2E9C-101B-9397-08002B2CF9AE}" pid="4" name="ContentTypeId">
    <vt:lpwstr>0x0101002BD6C5959EE8D0408FF88BAC4ECBD729</vt:lpwstr>
  </property>
</Properties>
</file>